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индикаторов риска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нарушения обязательных требований,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порядок отнесения объектов контроля к категориям риска.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проведении контрольных мероприятий контрольный орган использует следующие индикаторы риска нарушения обязательных требований: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– наличие у контрольного органа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</w:t>
      </w:r>
      <w:r>
        <w:rPr>
          <w:rFonts w:ascii="Times New Roman" w:hAnsi="Times New Roman" w:cs="Times New Roman"/>
          <w:sz w:val="28"/>
          <w:szCs w:val="28"/>
        </w:rPr>
        <w:t xml:space="preserve">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сумма которой превышает три</w:t>
      </w:r>
      <w:r>
        <w:rPr>
          <w:rFonts w:ascii="Times New Roman" w:hAnsi="Times New Roman" w:cs="Times New Roman"/>
          <w:sz w:val="28"/>
          <w:szCs w:val="28"/>
        </w:rPr>
        <w:t xml:space="preserve">ста тысяч рублей, образовавшейся в течение двенадцати месяцев до дня принятия решения о проведении и выборе вида внепланового контрольного мероприятия;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наличие у контрольного органа сведений о начислении платы за коммунальную услугу по отоплению (часть 2 статьи 155 Жилищного кодекса Российской Федерации) исходя из норматива потребления, утвержденного уполномоченным органом государственной власти субъекта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 (часть 1 статьи 157 Жилищного кодекса Российской Федерации), более трех расчетных периодов (пункт 37 Правил предоставления коммунальных услуг собственникам и пользователям помещений в многоквартирных домах и жилых домов, утвержденных 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Российской Федерации от 06.05.2011 № 354)  подряд.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целей управления рисками причинения вреда (ущерба) охраняемым законом ценностям при осуществлении муниципального контроля объекты контроля подлежат отнесению к одной из следующих категорий риска причинения вреда (ущерба) (далее категории риска):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средний риск;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умеренный риск;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низкий риск.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Отнесение объектов контроля к категории риска осуще</w:t>
      </w:r>
      <w:r>
        <w:rPr>
          <w:rFonts w:ascii="Times New Roman" w:hAnsi="Times New Roman" w:cs="Times New Roman"/>
          <w:sz w:val="28"/>
          <w:szCs w:val="28"/>
        </w:rPr>
        <w:t xml:space="preserve">ствляется контрольным органом с применением критериев отнесения объектов контроля к категории риска (далее критерии риска) в соответствии с частями 3 - 8 статьи 23, статьей 24 Федерального закона от 31.07.2020 N 248-ФЗ, частям 2.5 - 2.9 настоящего раздела.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об отнесении (изменении) объектов контроля к категории риска осуществляется муниципальным правовым актом администрации Советского района.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К категории среднего риска относятся объекты контроля при наличии в течение последнего года на дату принятия (изменения) решения об отнесении объекта контроля к категории риска: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- постановления (решения) по делу об административном правонарушении, вступившего в законную силу, связанного с нарушением обязательных требований, являющихся предметом муниципального контроля, ответственность за которое предусмотрена Кодексом Российской Фе</w:t>
      </w:r>
      <w:r>
        <w:rPr>
          <w:rFonts w:ascii="Times New Roman" w:hAnsi="Times New Roman" w:cs="Times New Roman"/>
          <w:sz w:val="28"/>
          <w:szCs w:val="28"/>
        </w:rPr>
        <w:t xml:space="preserve">дерации об административных правонарушениях;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- выданного контрольным органом предписания об устранении выявленных нарушений обязательных требований.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К категории умеренного риска относятся объекты контроля при наличии в течение последнего года на дату принятия (изменения) решения об отнесении объекта контроля к категории риска выданного контрольным органом предостережения о недопустимости нарушения обяза</w:t>
      </w:r>
      <w:r>
        <w:rPr>
          <w:rFonts w:ascii="Times New Roman" w:hAnsi="Times New Roman" w:cs="Times New Roman"/>
          <w:sz w:val="28"/>
          <w:szCs w:val="28"/>
        </w:rPr>
        <w:t xml:space="preserve">тельных требований.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К категории низкого риска относятся объекты контроля, не предусмотренные категориями среднего и умеренного риска.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отнесении объектов контроля к категориям риска, применении критериев риска и выявлении индикатора риска контрольный орган использует сведения об объектах контроля, характеризующие уровень рисков причинения вреда (ущерба), полученные с соблюдением т</w:t>
      </w:r>
      <w:r>
        <w:rPr>
          <w:rFonts w:ascii="Times New Roman" w:hAnsi="Times New Roman" w:cs="Times New Roman"/>
          <w:sz w:val="28"/>
          <w:szCs w:val="28"/>
        </w:rPr>
        <w:t xml:space="preserve">ребований законодательства Российской Федерации, Ханты-Мансийского автономного округа - Югры из любых источников, обеспечивающих их достоверность.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Полина Петровна</dc:creator>
  <cp:keywords/>
  <dc:description/>
  <cp:lastModifiedBy>ahmatovaei</cp:lastModifiedBy>
  <cp:revision>4</cp:revision>
  <dcterms:created xsi:type="dcterms:W3CDTF">2024-05-30T05:27:00Z</dcterms:created>
  <dcterms:modified xsi:type="dcterms:W3CDTF">2026-05-18T06:36:05Z</dcterms:modified>
</cp:coreProperties>
</file>