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W w:type="auto" w:w="0"/>
        <w:tblInd w:type="dxa" w:w="-7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692"/>
        <w:gridCol w:w="8208"/>
      </w:tblGrid>
      <w:tr>
        <w:trPr>
          <w:trHeight w:hRule="atLeast" w:val="1918"/>
        </w:trPr>
        <w:tc>
          <w:tcPr>
            <w:tcW w:type="dxa" w:w="169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00000">
            <w:pPr>
              <w:widowControl w:val="0"/>
              <w:ind/>
              <w:jc w:val="right"/>
            </w:pPr>
            <w:r>
              <w:rPr>
                <w:rFonts w:ascii="Arial" w:hAnsi="Arial"/>
              </w:rPr>
              <w:drawing>
                <wp:inline>
                  <wp:extent cx="815975" cy="1074420"/>
                  <wp:effectExtent b="0" l="0" r="0" t="0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815975" cy="10744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0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00000">
            <w:pPr>
              <w:pStyle w:val="Style_1"/>
              <w:widowControl w:val="0"/>
              <w:ind/>
              <w:jc w:val="center"/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layoutInCell="true" locked="false" relativeHeight="251658240" simplePos="fals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138430</wp:posOffset>
                      </wp:positionV>
                      <wp:extent cx="4740910" cy="0"/>
                      <wp:wrapNone/>
                      <wp:docPr hidden="false" id="3" name="Picture 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740910" cy="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anchor="t" bIns="45720" lIns="91440" rIns="9144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t>ЮГОРСКАЯ МЕЖРАЙОННАЯ ПРОКУРАТУРА</w:t>
            </w:r>
          </w:p>
          <w:p w14:paraId="03000000">
            <w:pPr>
              <w:widowControl w:val="0"/>
              <w:spacing w:before="90"/>
              <w:ind w:firstLine="0" w:left="18"/>
              <w:jc w:val="both"/>
              <w:rPr>
                <w:spacing w:val="8"/>
                <w:sz w:val="34"/>
              </w:rPr>
            </w:pPr>
            <w:r>
              <w:rPr>
                <w:rFonts w:ascii="Arial" w:hAnsi="Arial"/>
                <w:b w:val="1"/>
                <w:spacing w:val="8"/>
                <w:sz w:val="34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layoutInCell="true" locked="false" relativeHeight="251658240" simplePos="fals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414655</wp:posOffset>
                      </wp:positionV>
                      <wp:extent cx="4740910" cy="0"/>
                      <wp:wrapNone/>
                      <wp:docPr hidden="false" id="4" name="Picture 4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740910" cy="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571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anchor="t" bIns="45720" lIns="91440" rIns="9144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pacing w:val="8"/>
                <w:sz w:val="34"/>
              </w:rPr>
              <w:t>Ханты-Мансийского автономного округа-Югра</w:t>
            </w:r>
          </w:p>
          <w:p w14:paraId="04000000">
            <w:pPr>
              <w:widowControl w:val="0"/>
              <w:ind/>
              <w:jc w:val="right"/>
            </w:pPr>
          </w:p>
        </w:tc>
      </w:tr>
    </w:tbl>
    <w:p w14:paraId="05000000">
      <w:pPr>
        <w:pStyle w:val="Style_2"/>
        <w:widowControl w:val="1"/>
        <w:ind/>
        <w:jc w:val="center"/>
      </w:pPr>
    </w:p>
    <w:p w14:paraId="06000000">
      <w:pPr>
        <w:pStyle w:val="Style_2"/>
        <w:widowControl w:val="1"/>
        <w:ind/>
        <w:jc w:val="center"/>
      </w:pPr>
    </w:p>
    <w:p w14:paraId="07000000">
      <w:pPr>
        <w:widowControl w:val="1"/>
        <w:spacing w:after="18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fldChar w:fldCharType="begin"/>
      </w:r>
      <w:r>
        <w:rPr>
          <w:rFonts w:ascii="Times New Roman" w:hAnsi="Times New Roman"/>
          <w:b w:val="1"/>
          <w:color w:val="000000"/>
          <w:sz w:val="28"/>
        </w:rPr>
        <w:instrText>HYPERLINK "https://storage.consultant.ru/site20/202607/04/238-fz.pdf"</w:instrText>
      </w:r>
      <w:r>
        <w:rPr>
          <w:rFonts w:ascii="Times New Roman" w:hAnsi="Times New Roman"/>
          <w:b w:val="1"/>
          <w:color w:val="000000"/>
          <w:sz w:val="28"/>
        </w:rPr>
        <w:fldChar w:fldCharType="separate"/>
      </w:r>
      <w:r>
        <w:rPr>
          <w:rFonts w:ascii="Times New Roman" w:hAnsi="Times New Roman"/>
          <w:b w:val="1"/>
          <w:color w:val="000000"/>
          <w:sz w:val="28"/>
        </w:rPr>
        <w:t>Федеральный закон от 04.07.2026 N 238-ФЗ "О внесении изменений в отдельные законодательные акты Российской Федерации"</w:t>
      </w:r>
      <w:r>
        <w:rPr>
          <w:rFonts w:ascii="Times New Roman" w:hAnsi="Times New Roman"/>
          <w:b w:val="1"/>
          <w:color w:val="000000"/>
          <w:sz w:val="28"/>
        </w:rPr>
        <w:fldChar w:fldCharType="end"/>
      </w:r>
    </w:p>
    <w:p w14:paraId="08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>Для участников специальной военной операции, являющихся инвалидами I или II группы, инвалидность которых наступила вследствие увечья (ранения, травмы, контузии) или заболевания, полученных при исполнении служебных обязанностей, устанавливается сокращенное служебное время - не более 35 часов в неделю</w:t>
      </w:r>
      <w:r>
        <w:rPr>
          <w:rFonts w:ascii="Times New Roman" w:hAnsi="Times New Roman"/>
          <w:color w:val="000000"/>
          <w:sz w:val="28"/>
          <w:u w:val="single"/>
        </w:rPr>
        <w:t>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Внесенные изменения распространяются на военнослужащих, проходящих военную службу по контракту, сотрудников органов внутренних дел, уголовно-исполнительной системы, органов принудительного исполнения, изъявивших желание продолжить военную службу (службу).</w:t>
      </w:r>
    </w:p>
    <w:p w14:paraId="0A000000">
      <w:pPr>
        <w:pStyle w:val="Style_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По информации Югорской межрайонной прокуратуры.</w:t>
      </w:r>
    </w:p>
    <w:p w14:paraId="0B000000">
      <w:pPr>
        <w:pStyle w:val="Style_2"/>
        <w:rPr>
          <w:rFonts w:ascii="Times New Roman" w:hAnsi="Times New Roman"/>
          <w:color w:val="000000"/>
          <w:sz w:val="28"/>
        </w:rPr>
      </w:pPr>
    </w:p>
    <w:p w14:paraId="0C000000">
      <w:pPr>
        <w:widowControl w:val="1"/>
        <w:spacing w:after="18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fldChar w:fldCharType="begin"/>
      </w:r>
      <w:r>
        <w:rPr>
          <w:rFonts w:ascii="Times New Roman" w:hAnsi="Times New Roman"/>
          <w:b w:val="1"/>
          <w:color w:val="000000"/>
          <w:sz w:val="28"/>
        </w:rPr>
        <w:instrText>HYPERLINK "https://storage.consultant.ru/site20/202607/04/230-fz.pdf"</w:instrText>
      </w:r>
      <w:r>
        <w:rPr>
          <w:rFonts w:ascii="Times New Roman" w:hAnsi="Times New Roman"/>
          <w:b w:val="1"/>
          <w:color w:val="000000"/>
          <w:sz w:val="28"/>
        </w:rPr>
        <w:fldChar w:fldCharType="separate"/>
      </w:r>
      <w:r>
        <w:rPr>
          <w:rFonts w:ascii="Times New Roman" w:hAnsi="Times New Roman"/>
          <w:b w:val="1"/>
          <w:color w:val="000000"/>
          <w:sz w:val="28"/>
        </w:rPr>
        <w:t>Федеральный закон от 04.07.2026 N 230-ФЗ "О внесении изменений в отдельные законодательные акты Российской Федерации"</w:t>
      </w:r>
      <w:r>
        <w:rPr>
          <w:rFonts w:ascii="Times New Roman" w:hAnsi="Times New Roman"/>
          <w:b w:val="1"/>
          <w:color w:val="000000"/>
          <w:sz w:val="28"/>
        </w:rPr>
        <w:fldChar w:fldCharType="end"/>
      </w:r>
    </w:p>
    <w:p w14:paraId="0D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>Подписан закон, вводящий в оборот договоры жилищных сбережений граждан</w:t>
      </w:r>
      <w:r>
        <w:rPr>
          <w:rFonts w:ascii="Times New Roman" w:hAnsi="Times New Roman"/>
          <w:color w:val="000000"/>
          <w:sz w:val="28"/>
          <w:u w:val="single"/>
        </w:rPr>
        <w:t>.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договору жилищных сбережений банк будет принимать денежные средства от вкладчиков, выплачивать на них проценты и направлять по распоряжению вкладчика сумму сбережений (денежные средства и проценты на них) на оплату приобретаемого вкладчиком жилья или финансирование его участия в долевом или индивидуальном жилищном строительстве. Также банк обязуется предоставить кредит на улучшение жилищных условий в случае соответствия вкладчика условиям, определяемым кредитной организацией при рассмотрении заявки на предоставление кредита.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Вкладчиком по договору жилищных сбережений может являться только физическое лицо. Срок привлечения денежных сре</w:t>
      </w:r>
      <w:r>
        <w:rPr>
          <w:rFonts w:ascii="Times New Roman" w:hAnsi="Times New Roman"/>
          <w:color w:val="000000"/>
          <w:sz w:val="28"/>
        </w:rPr>
        <w:t>дств в р</w:t>
      </w:r>
      <w:r>
        <w:rPr>
          <w:rFonts w:ascii="Times New Roman" w:hAnsi="Times New Roman"/>
          <w:color w:val="000000"/>
          <w:sz w:val="28"/>
        </w:rPr>
        <w:t>амках договора жилищных сбережений не может быть менее трех лет. Предусматривается право вкладчика досрочно прекратить договор жилищных сбережений. Определены условия, при соблюдении которых в случае прекращения договора жилищных сбережений вкладчику будут выплачены все начисленные проценты.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Проценты по договору жилищных сбережений </w:t>
      </w:r>
      <w:r>
        <w:rPr>
          <w:rFonts w:ascii="Times New Roman" w:hAnsi="Times New Roman"/>
          <w:color w:val="000000"/>
          <w:sz w:val="28"/>
        </w:rPr>
        <w:t>начисляются и выплачиваются</w:t>
      </w:r>
      <w:r>
        <w:rPr>
          <w:rFonts w:ascii="Times New Roman" w:hAnsi="Times New Roman"/>
          <w:color w:val="000000"/>
          <w:sz w:val="28"/>
        </w:rPr>
        <w:t xml:space="preserve"> с периодичностью и в порядке, которые установлены в соответствии с условиями такого договора. Начисленные проценты перечисляются на вклад, открытый на основании договора жилищных сбережений, и увеличивают сумму такого вклада. Определено, что </w:t>
      </w:r>
      <w:r>
        <w:rPr>
          <w:rFonts w:ascii="Times New Roman" w:hAnsi="Times New Roman"/>
          <w:color w:val="000000"/>
          <w:sz w:val="28"/>
        </w:rPr>
        <w:t>условия договора жилищных сбережений должны предусматривать возможность пополнения вклада в любое время.</w:t>
      </w: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Законом также закрепляются особенности страхования денежных средств, размещенных на основании договора жилищных сбережений. Так, страховое возмещение по такому договору выплачивается вкладчику в размере 100 процентов суммы вклада на день наступления страхового случая, но не более 10 </w:t>
      </w:r>
      <w:r>
        <w:rPr>
          <w:rFonts w:ascii="Times New Roman" w:hAnsi="Times New Roman"/>
          <w:color w:val="000000"/>
          <w:sz w:val="28"/>
        </w:rPr>
        <w:t>млн</w:t>
      </w:r>
      <w:r>
        <w:rPr>
          <w:rFonts w:ascii="Times New Roman" w:hAnsi="Times New Roman"/>
          <w:color w:val="000000"/>
          <w:sz w:val="28"/>
        </w:rPr>
        <w:t xml:space="preserve"> рублей.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Страховое возмещение по договорам жилищных сбережений выплачивается отдельно от возмещения по иным вкладам. В случае, если вкладчик имеет несколько вкладов по договорам жилищных сбережений в одном банке, суммарный размер обязательств которого по таким вкладам превышает 10 </w:t>
      </w:r>
      <w:r>
        <w:rPr>
          <w:rFonts w:ascii="Times New Roman" w:hAnsi="Times New Roman"/>
          <w:color w:val="000000"/>
          <w:sz w:val="28"/>
        </w:rPr>
        <w:t>млн</w:t>
      </w:r>
      <w:r>
        <w:rPr>
          <w:rFonts w:ascii="Times New Roman" w:hAnsi="Times New Roman"/>
          <w:color w:val="000000"/>
          <w:sz w:val="28"/>
        </w:rPr>
        <w:t xml:space="preserve"> рублей, страховое возмещение выплачивается по каждому из этих вкладов пропорционально их размерам, но не более 10 млн рублей в совокупности.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Федеральный закон вступит в силу с 1 января 2027 года.</w:t>
      </w:r>
    </w:p>
    <w:p w14:paraId="13000000">
      <w:pPr>
        <w:pStyle w:val="Style_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По информации Югорской межрайонной прокуратуры.</w:t>
      </w:r>
    </w:p>
    <w:p w14:paraId="14000000">
      <w:pPr>
        <w:pStyle w:val="Style_2"/>
        <w:rPr>
          <w:rFonts w:ascii="Times New Roman" w:hAnsi="Times New Roman"/>
          <w:color w:val="000000"/>
          <w:sz w:val="28"/>
        </w:rPr>
      </w:pPr>
    </w:p>
    <w:p w14:paraId="15000000">
      <w:pPr>
        <w:widowControl w:val="1"/>
        <w:spacing w:after="18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fldChar w:fldCharType="begin"/>
      </w:r>
      <w:r>
        <w:rPr>
          <w:rFonts w:ascii="Times New Roman" w:hAnsi="Times New Roman"/>
          <w:b w:val="1"/>
          <w:color w:val="000000"/>
          <w:sz w:val="28"/>
        </w:rPr>
        <w:instrText>HYPERLINK "https://storage.consultant.ru/site20/202607/04/220-fz.pdf"</w:instrText>
      </w:r>
      <w:r>
        <w:rPr>
          <w:rFonts w:ascii="Times New Roman" w:hAnsi="Times New Roman"/>
          <w:b w:val="1"/>
          <w:color w:val="000000"/>
          <w:sz w:val="28"/>
        </w:rPr>
        <w:fldChar w:fldCharType="separate"/>
      </w:r>
      <w:r>
        <w:rPr>
          <w:rFonts w:ascii="Times New Roman" w:hAnsi="Times New Roman"/>
          <w:b w:val="1"/>
          <w:color w:val="000000"/>
          <w:sz w:val="28"/>
        </w:rPr>
        <w:t>Федеральный закон от 04.07.2026 N 220-ФЗ "О внесении изменений в Кодекс Российской Федерации об административных правонарушениях"</w:t>
      </w:r>
      <w:r>
        <w:rPr>
          <w:rFonts w:ascii="Times New Roman" w:hAnsi="Times New Roman"/>
          <w:b w:val="1"/>
          <w:color w:val="000000"/>
          <w:sz w:val="28"/>
        </w:rPr>
        <w:fldChar w:fldCharType="end"/>
      </w:r>
    </w:p>
    <w:p w14:paraId="16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Утратила силу статья 15.5 КоАП РФ об административной ответственности должностных лиц за нарушение сроков представления налоговой декларации (расчета по страховым взносам)</w:t>
      </w:r>
      <w:r>
        <w:rPr>
          <w:rFonts w:ascii="Times New Roman" w:hAnsi="Times New Roman"/>
          <w:color w:val="000000"/>
          <w:sz w:val="28"/>
        </w:rPr>
        <w:t>.</w:t>
      </w: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 указанное правонарушение должностные лица привлекались к административной ответственности в виде предупреждения или штрафа в размере от 300 до 500 рублей.</w:t>
      </w:r>
    </w:p>
    <w:p w14:paraId="1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Статья утратила силу в связи с тем, что расходы на составление протоколов и их направление мировым судьям для рассмотрения дела превышали доходы бюджета от взимания таких штрафов.</w:t>
      </w:r>
    </w:p>
    <w:p w14:paraId="19000000">
      <w:pPr>
        <w:pStyle w:val="Style_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Закон вступает в силу со дня его официального опубликования, за исключением пунктов 1 и 6 статьи 1, вступающих в силу с 1 сентября 2026 года.</w:t>
      </w:r>
    </w:p>
    <w:p w14:paraId="1A000000">
      <w:pPr>
        <w:pStyle w:val="Style_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По информации Югорской межрайонной прокуратуры.</w:t>
      </w:r>
    </w:p>
    <w:p w14:paraId="1B000000">
      <w:pPr>
        <w:pStyle w:val="Style_2"/>
        <w:rPr>
          <w:rFonts w:ascii="Times New Roman" w:hAnsi="Times New Roman"/>
          <w:color w:val="000000"/>
          <w:sz w:val="28"/>
        </w:rPr>
      </w:pPr>
    </w:p>
    <w:p w14:paraId="1C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fldChar w:fldCharType="begin"/>
      </w:r>
      <w:r>
        <w:rPr>
          <w:rFonts w:ascii="Times New Roman" w:hAnsi="Times New Roman"/>
          <w:b w:val="1"/>
          <w:color w:val="000000"/>
          <w:sz w:val="28"/>
        </w:rPr>
        <w:instrText>HYPERLINK "https://storage.consultant.ru/site20/202606/26/fz_260626-188.pdf"</w:instrText>
      </w:r>
      <w:r>
        <w:rPr>
          <w:rFonts w:ascii="Times New Roman" w:hAnsi="Times New Roman"/>
          <w:b w:val="1"/>
          <w:color w:val="000000"/>
          <w:sz w:val="28"/>
        </w:rPr>
        <w:fldChar w:fldCharType="separate"/>
      </w:r>
      <w:r>
        <w:rPr>
          <w:rFonts w:ascii="Times New Roman" w:hAnsi="Times New Roman"/>
          <w:b w:val="1"/>
          <w:color w:val="000000"/>
          <w:sz w:val="28"/>
        </w:rPr>
        <w:t>Федеральный закон от 26.06.2026 N 188-ФЗ "О внесении изменения в статью 171.3 Уголовного кодекса Российской Федерации"</w:t>
      </w:r>
      <w:r>
        <w:rPr>
          <w:rFonts w:ascii="Times New Roman" w:hAnsi="Times New Roman"/>
          <w:b w:val="1"/>
          <w:color w:val="000000"/>
          <w:sz w:val="28"/>
        </w:rPr>
        <w:fldChar w:fldCharType="end"/>
      </w:r>
    </w:p>
    <w:p w14:paraId="1D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 xml:space="preserve">Вводится уголовная ответственность за розничную продажу табачной продукции и </w:t>
      </w:r>
      <w:r>
        <w:rPr>
          <w:rFonts w:ascii="Times New Roman" w:hAnsi="Times New Roman"/>
          <w:color w:val="000000"/>
          <w:sz w:val="28"/>
          <w:u w:val="single"/>
        </w:rPr>
        <w:t>никотинсодержащей</w:t>
      </w:r>
      <w:r>
        <w:rPr>
          <w:rFonts w:ascii="Times New Roman" w:hAnsi="Times New Roman"/>
          <w:color w:val="000000"/>
          <w:sz w:val="28"/>
          <w:u w:val="single"/>
        </w:rPr>
        <w:t xml:space="preserve"> продукции без лицензии</w:t>
      </w:r>
    </w:p>
    <w:p w14:paraId="1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Наказание за указанное преступление будет аналогично наказанию за производство, поставку, закупку (в том числе при ввозе в РФ и вывозе из РФ), хранение табачной продукции, </w:t>
      </w:r>
      <w:r>
        <w:rPr>
          <w:rFonts w:ascii="Times New Roman" w:hAnsi="Times New Roman"/>
          <w:color w:val="000000"/>
          <w:sz w:val="28"/>
        </w:rPr>
        <w:t>никотинсодержащей</w:t>
      </w:r>
      <w:r>
        <w:rPr>
          <w:rFonts w:ascii="Times New Roman" w:hAnsi="Times New Roman"/>
          <w:color w:val="000000"/>
          <w:sz w:val="28"/>
        </w:rPr>
        <w:t xml:space="preserve"> продукции и сырья для их производства без соответствующей лицензии, совершенные в крупном размере, в особо крупном размере, а также организованной группой.</w:t>
      </w:r>
    </w:p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Так, в частности, за розничную продажу табачной продукции и </w:t>
      </w:r>
      <w:r>
        <w:rPr>
          <w:rFonts w:ascii="Times New Roman" w:hAnsi="Times New Roman"/>
          <w:color w:val="000000"/>
          <w:sz w:val="28"/>
        </w:rPr>
        <w:t>никотинсодержащей</w:t>
      </w:r>
      <w:r>
        <w:rPr>
          <w:rFonts w:ascii="Times New Roman" w:hAnsi="Times New Roman"/>
          <w:color w:val="000000"/>
          <w:sz w:val="28"/>
        </w:rPr>
        <w:t xml:space="preserve"> продукции без соответствующей лицензии, совершенную в крупном размере, накажут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лет, либо принудительными работами на срок до трех лет, либо лишением свободы на тот же</w:t>
      </w:r>
      <w:r>
        <w:rPr>
          <w:rFonts w:ascii="Times New Roman" w:hAnsi="Times New Roman"/>
          <w:color w:val="000000"/>
          <w:sz w:val="28"/>
        </w:rPr>
        <w:t xml:space="preserve"> срок с лишением права занимать определенные должности или заниматься определенной деятельностью на срок до трех лет либо без такового.</w:t>
      </w: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Настоящий Федеральный закон вступает в силу с 1 марта 2027 года</w:t>
      </w:r>
      <w:r>
        <w:rPr>
          <w:rFonts w:ascii="Times New Roman" w:hAnsi="Times New Roman"/>
          <w:color w:val="000000"/>
          <w:sz w:val="28"/>
        </w:rPr>
        <w:t>.</w:t>
      </w:r>
    </w:p>
    <w:p w14:paraId="22000000">
      <w:pPr>
        <w:pStyle w:val="Style_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По информации Югорской межрайонной прокуратуры.</w:t>
      </w:r>
    </w:p>
    <w:p w14:paraId="23000000">
      <w:pPr>
        <w:pStyle w:val="Style_2"/>
        <w:rPr>
          <w:rFonts w:ascii="Times New Roman" w:hAnsi="Times New Roman"/>
          <w:color w:val="000000"/>
          <w:sz w:val="28"/>
        </w:rPr>
      </w:pPr>
    </w:p>
    <w:p w14:paraId="24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fldChar w:fldCharType="begin"/>
      </w:r>
      <w:r>
        <w:rPr>
          <w:rFonts w:ascii="Times New Roman" w:hAnsi="Times New Roman"/>
          <w:b w:val="1"/>
          <w:color w:val="000000"/>
          <w:sz w:val="28"/>
        </w:rPr>
        <w:instrText>HYPERLINK "https://storage.consultant.ru/site20/202606/26/fkz_260626-2.pdf"</w:instrText>
      </w:r>
      <w:r>
        <w:rPr>
          <w:rFonts w:ascii="Times New Roman" w:hAnsi="Times New Roman"/>
          <w:b w:val="1"/>
          <w:color w:val="000000"/>
          <w:sz w:val="28"/>
        </w:rPr>
        <w:fldChar w:fldCharType="separate"/>
      </w:r>
      <w:r>
        <w:rPr>
          <w:rFonts w:ascii="Times New Roman" w:hAnsi="Times New Roman"/>
          <w:b w:val="1"/>
          <w:color w:val="000000"/>
          <w:sz w:val="28"/>
        </w:rPr>
        <w:t>Федеральный конституционный закон от 26.06.2026 N 2-ФКЗ "О внесении изменений в статьи 4 и 6 Федерального конституционного закона "О Государственном флаге Российской Федерации"</w:t>
      </w:r>
      <w:r>
        <w:rPr>
          <w:rFonts w:ascii="Times New Roman" w:hAnsi="Times New Roman"/>
          <w:b w:val="1"/>
          <w:color w:val="000000"/>
          <w:sz w:val="28"/>
        </w:rPr>
        <w:fldChar w:fldCharType="end"/>
      </w:r>
    </w:p>
    <w:p w14:paraId="25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b w:val="1"/>
          <w:color w:val="000000"/>
          <w:sz w:val="28"/>
        </w:rPr>
      </w:pPr>
    </w:p>
    <w:p w14:paraId="26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>На объектах спорта, находящихся в государственной (муниципальной) собственности, Государственный флаг РФ должен быть вывешен постоянно</w:t>
      </w:r>
      <w:r>
        <w:rPr>
          <w:rFonts w:ascii="Times New Roman" w:hAnsi="Times New Roman"/>
          <w:color w:val="000000"/>
          <w:sz w:val="28"/>
          <w:u w:val="single"/>
        </w:rPr>
        <w:t>.</w:t>
      </w:r>
    </w:p>
    <w:p w14:paraId="2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Также закрепляется обязательный подъем (установка) Государственного флага РФ во время проведения официальных физкультурных мероприятий и официальных спортивных соревнований.</w:t>
      </w:r>
    </w:p>
    <w:p w14:paraId="2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Настоящий Федеральный конституционный закон вступает в силу со дня его официального опубликования.</w:t>
      </w:r>
    </w:p>
    <w:p w14:paraId="2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По информации Югорской межрайонной прокуратуры.</w:t>
      </w:r>
    </w:p>
    <w:p w14:paraId="2A000000">
      <w:pPr>
        <w:pStyle w:val="Style_2"/>
        <w:rPr>
          <w:rFonts w:ascii="Times New Roman" w:hAnsi="Times New Roman"/>
          <w:color w:val="000000"/>
          <w:sz w:val="28"/>
        </w:rPr>
      </w:pPr>
    </w:p>
    <w:p w14:paraId="2B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fldChar w:fldCharType="begin"/>
      </w:r>
      <w:r>
        <w:rPr>
          <w:rFonts w:ascii="Times New Roman" w:hAnsi="Times New Roman"/>
          <w:b w:val="1"/>
          <w:color w:val="000000"/>
          <w:sz w:val="28"/>
        </w:rPr>
        <w:instrText>HYPERLINK "https://storage.consultant.ru/site20/202606/26/fz_260626-200.pdf"</w:instrText>
      </w:r>
      <w:r>
        <w:rPr>
          <w:rFonts w:ascii="Times New Roman" w:hAnsi="Times New Roman"/>
          <w:b w:val="1"/>
          <w:color w:val="000000"/>
          <w:sz w:val="28"/>
        </w:rPr>
        <w:fldChar w:fldCharType="separate"/>
      </w:r>
      <w:r>
        <w:rPr>
          <w:rFonts w:ascii="Times New Roman" w:hAnsi="Times New Roman"/>
          <w:b w:val="1"/>
          <w:color w:val="000000"/>
          <w:sz w:val="28"/>
        </w:rPr>
        <w:t>Федеральный закон от 26.06.2026 N 200-ФЗ "О внесении изменений в Кодекс Российской Федерации об административных правонарушениях"</w:t>
      </w:r>
      <w:r>
        <w:rPr>
          <w:rFonts w:ascii="Times New Roman" w:hAnsi="Times New Roman"/>
          <w:b w:val="1"/>
          <w:color w:val="000000"/>
          <w:sz w:val="28"/>
        </w:rPr>
        <w:fldChar w:fldCharType="end"/>
      </w:r>
    </w:p>
    <w:p w14:paraId="2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2D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>Установлена административная ответственность за незаконную реализацию электронных проездных документов (билетов) на поезд лицом, не являющимся перевозчиком (представителем перевозчика).</w:t>
      </w:r>
    </w:p>
    <w:p w14:paraId="2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Возмездное оказание услуг, в том числе посреднических, по оформлению электронных проездных документов (билетов) лицом, не являющимся перевозчиком (представителем перевозчика), при отсутствии заключенного с перевозчиком договора на их оформление влечет наложение административного штрафа: на граждан - в размере от 5 тыс. до 10 тыс. рублей; на индивидуальных предпринимателей и юридических лиц - от 400 тыс. до 500 тыс. рублей.</w:t>
      </w:r>
    </w:p>
    <w:p w14:paraId="2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Составление протоколов и рассмотрение указанных административных дел возлагается на должностных лиц </w:t>
      </w:r>
      <w:r>
        <w:rPr>
          <w:rFonts w:ascii="Times New Roman" w:hAnsi="Times New Roman"/>
          <w:color w:val="000000"/>
          <w:sz w:val="28"/>
        </w:rPr>
        <w:t>Ространснадзора</w:t>
      </w:r>
      <w:r>
        <w:rPr>
          <w:rFonts w:ascii="Times New Roman" w:hAnsi="Times New Roman"/>
          <w:color w:val="000000"/>
          <w:sz w:val="28"/>
        </w:rPr>
        <w:t>.</w:t>
      </w:r>
    </w:p>
    <w:p w14:paraId="3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По информации Югорской межрайонной прокуратуры.</w:t>
      </w:r>
    </w:p>
    <w:p w14:paraId="31000000">
      <w:pPr>
        <w:pStyle w:val="Style_2"/>
        <w:rPr>
          <w:rFonts w:ascii="Times New Roman" w:hAnsi="Times New Roman"/>
          <w:color w:val="000000"/>
          <w:sz w:val="28"/>
        </w:rPr>
      </w:pPr>
    </w:p>
    <w:p w14:paraId="3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fldChar w:fldCharType="begin"/>
      </w:r>
      <w:r>
        <w:rPr>
          <w:rFonts w:ascii="Times New Roman" w:hAnsi="Times New Roman"/>
          <w:b w:val="1"/>
          <w:color w:val="000000"/>
          <w:sz w:val="28"/>
        </w:rPr>
        <w:instrText>HYPERLINK "https://storage.consultant.ru/site20/202606/26/fz_260626-198.pdf"</w:instrText>
      </w:r>
      <w:r>
        <w:rPr>
          <w:rFonts w:ascii="Times New Roman" w:hAnsi="Times New Roman"/>
          <w:b w:val="1"/>
          <w:color w:val="000000"/>
          <w:sz w:val="28"/>
        </w:rPr>
        <w:fldChar w:fldCharType="separate"/>
      </w:r>
      <w:r>
        <w:rPr>
          <w:rFonts w:ascii="Times New Roman" w:hAnsi="Times New Roman"/>
          <w:b w:val="1"/>
          <w:color w:val="000000"/>
          <w:sz w:val="28"/>
        </w:rPr>
        <w:t>Федеральный закон от 26.06.2026 N 198-ФЗ "О внесении изменений в Кодекс Российской Федерации об административных правонарушениях"</w:t>
      </w:r>
      <w:r>
        <w:rPr>
          <w:rFonts w:ascii="Times New Roman" w:hAnsi="Times New Roman"/>
          <w:b w:val="1"/>
          <w:color w:val="000000"/>
          <w:sz w:val="28"/>
        </w:rPr>
        <w:fldChar w:fldCharType="end"/>
      </w:r>
    </w:p>
    <w:p w14:paraId="3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color w:val="000000"/>
          <w:sz w:val="28"/>
        </w:rPr>
      </w:pPr>
    </w:p>
    <w:p w14:paraId="3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 xml:space="preserve">С 1 сентября 2026 года устанавливается административная ответственность за </w:t>
      </w:r>
      <w:r>
        <w:rPr>
          <w:rFonts w:ascii="Times New Roman" w:hAnsi="Times New Roman"/>
          <w:color w:val="000000"/>
          <w:sz w:val="28"/>
          <w:u w:val="single"/>
        </w:rPr>
        <w:t>неразмещение</w:t>
      </w:r>
      <w:r>
        <w:rPr>
          <w:rFonts w:ascii="Times New Roman" w:hAnsi="Times New Roman"/>
          <w:color w:val="000000"/>
          <w:sz w:val="28"/>
          <w:u w:val="single"/>
        </w:rPr>
        <w:t xml:space="preserve"> или нарушение порядка и сроков размещения документов (информации) о деятельности государственных (муниципальных) учреждений на официальном сайте в сети "Интернет</w:t>
      </w:r>
    </w:p>
    <w:p w14:paraId="3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 данное правонарушение предусматривается наложение административного штрафа на должностных лиц в размере от 15 тыс. до 30 тыс. рублей.</w:t>
      </w:r>
    </w:p>
    <w:p w14:paraId="3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Также уточнено, что в случае, если искажение показателей бюджетной или бухгалтерской (финансовой) отчетности допущено в результате ненадлежащего документального оформления первичными учетными документами фактов хозяйственной жизни и (или) </w:t>
      </w:r>
      <w:r>
        <w:rPr>
          <w:rFonts w:ascii="Times New Roman" w:hAnsi="Times New Roman"/>
          <w:color w:val="000000"/>
          <w:sz w:val="28"/>
        </w:rPr>
        <w:t>непередачи</w:t>
      </w:r>
      <w:r>
        <w:rPr>
          <w:rFonts w:ascii="Times New Roman" w:hAnsi="Times New Roman"/>
          <w:color w:val="000000"/>
          <w:sz w:val="28"/>
        </w:rPr>
        <w:t xml:space="preserve"> либо несвоевременной передачи первичных учетных документов для регистрации содержащихся в них данных в регистрах бухгалтерского учета, предусмотренная статьей 15.15.6 КоАП РФ административная ответственность возлагается на должностное лицо, ответственное за оформление факта хозяйственной</w:t>
      </w:r>
      <w:r>
        <w:rPr>
          <w:rFonts w:ascii="Times New Roman" w:hAnsi="Times New Roman"/>
          <w:color w:val="000000"/>
          <w:sz w:val="28"/>
        </w:rPr>
        <w:t xml:space="preserve"> жизни, и не применяется к лицу, на которое возложено ведение бюджетного (бухгалтерского) учета, и к лицу, с которым заключен договор об оказании услуг по ведению бюджетного (бухгалтерского) учета.</w:t>
      </w:r>
    </w:p>
    <w:p w14:paraId="3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По информации Югорской межрайонной прокуратуры.</w:t>
      </w:r>
    </w:p>
    <w:p w14:paraId="38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9000000">
      <w:pPr>
        <w:pStyle w:val="Style_2"/>
        <w:rPr>
          <w:color w:val="000000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" w:type="paragraph">
    <w:name w:val="heading 1"/>
    <w:next w:val="Style_2"/>
    <w:link w:val="Style_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_ch" w:type="character">
    <w:name w:val="heading 1"/>
    <w:link w:val="Style_1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2026-07-14T05:04:11Z</dcterms:created>
  <dcterms:modified xsi:type="dcterms:W3CDTF">2026-07-14T05:04:11Z</dcterms:modified>
</cp:coreProperties>
</file>