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7"/>
        <w:ind w:left="0" w:right="0" w:firstLine="0"/>
        <w:spacing w:line="450" w:lineRule="atLeast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b/>
          <w:color w:val="000000" w:themeColor="text1"/>
          <w:sz w:val="33"/>
        </w:rPr>
        <w:t xml:space="preserve">Объявляем о начале приёма заявлений от субъектов малого и среднего предпринимательства Советского района на предоставление субсидий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Предоставление субсидий субъектам малого и среднего предпринимательства Советского района осуществляется, в соответствии с Административным регламентом предоставления муниципальной услуги «Оказание финансовой поддержки субъектам малого и среднего предприни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мательства», утвержденным постановлением администрации города от 04.07.2019 № 1508/НПА, в рамках мероприятий Задачи 1 «Развитие малого и среднего предпринимательства в Советском районе» муниципальной программы «Развитие экономического потенциала Советского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 района», утвержденной постановлением администрации Советского района от 29.10.2018 № 2342.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Дата начала приема заявлений – 24.04.2020 года.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Субсидии предоставляются субъектам малого и среднего предпринимательства (далее Субъекты) на следующие цели: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1.    Возмещение части затрат на создание Коворкинг-центров;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2.    Возмещение части затрат на аренду (субаренду) нежилых помещений;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3.    Возмещение части затрат по консалтинговым услугам;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4.    Возмещение части затрат по обязательной и добровольной сертификации (декларированию) продукции (в том числе продовольственного сырья);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5.    Возмещение части затрат на приобретение оборудования (основных средств) и лицензионных программных продуктов;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6.    Возмещение части затрат на приобретение сырья, расходных материалов и инструментов, необходимых для производства продукции и изделий народных художественных промыслов и ремесел;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7.    Возмещение части затрат, связанных с созданием и (или) развитием центров (групп) времяпрепровождения детей, в том числе кратковременного пребывания детей и дошкольных образовательных центров;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8.    Возмещение части затрат, связанных со специальной оценкой условий труда;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9.    Возмещения части затрат, связанных с началом предпринимательской деятельности.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Возмещению подлежат затраты, произведенные Субъектами в течение 12 (двенадцати) месяцев, предшествующих дате подачи заявления о предоставлении субсидии.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В соответствии с постановлением Губернатора Ханты-Мансийского автономного округа – Югры от 09.04.2020 № 29 «О мерах по предотвращению завоза и распространения новой коронавирусной инфекции, вызванной COVID-19, в Ханты-Мансийском автономном округе – Югре» п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редоставление муниципальных услуг в помещениях органов местного самоуправления муниципальных образований автономного округа при личном обращении граждан приостановлено до завершения периода эпидемиологического неблагополучия, связанного с распространением </w:t>
      </w:r>
      <w:r>
        <w:rPr>
          <w:rFonts w:ascii="Open Sans" w:hAnsi="Open Sans" w:eastAsia="Open Sans" w:cs="Open Sans"/>
          <w:color w:val="000000" w:themeColor="text1"/>
          <w:sz w:val="24"/>
        </w:rPr>
        <w:t xml:space="preserve">COVID-19.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Документы для получения субсидии направляются в администрацию Советского района почтовым отправлением по адресу: РФ, Ханты-Мансийский автономный округ – Югра, Советский район, г. Советский, у. 50 лет Пионерии, дом 10.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Консультирование граждан по вопросам оказания муниципальной услуги осуществляется исключительно посредством телефонной связи телефон 8(34675)5-54-17, e-mail: </w:t>
      </w:r>
      <w:hyperlink r:id="rId8" w:tooltip="mailto:Bochkarevana@admsov.com" w:history="1">
        <w:r>
          <w:rPr>
            <w:rStyle w:val="813"/>
            <w:rFonts w:ascii="Open Sans" w:hAnsi="Open Sans" w:eastAsia="Open Sans" w:cs="Open Sans"/>
            <w:color w:val="000000" w:themeColor="text1"/>
            <w:sz w:val="24"/>
            <w:u w:val="none"/>
          </w:rPr>
          <w:t xml:space="preserve">Bochkarevana@admsov.com</w:t>
        </w:r>
      </w:hyperlink>
      <w:r>
        <w:rPr>
          <w:rFonts w:ascii="Open Sans" w:hAnsi="Open Sans" w:eastAsia="Open Sans" w:cs="Open Sans"/>
          <w:color w:val="000000" w:themeColor="text1"/>
          <w:sz w:val="24"/>
        </w:rPr>
        <w:t xml:space="preserve">.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Время работы для консультаций: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Пн-Пт: 09.00 - 16.00 (перерыв: 13.00 - 14.00);</w:t>
      </w:r>
      <w:r>
        <w:rPr>
          <w:color w:val="000000" w:themeColor="text1"/>
        </w:rPr>
      </w:r>
    </w:p>
    <w:p>
      <w:pPr>
        <w:ind w:left="0" w:right="0" w:firstLine="0"/>
        <w:shd w:val="clear" w:color="ffffff" w:fill="ffffff"/>
        <w:rPr>
          <w:color w:val="000000" w:themeColor="text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color w:val="000000" w:themeColor="text1"/>
          <w:sz w:val="24"/>
        </w:rPr>
        <w:t xml:space="preserve">Сб-Вс: Выходной.</w:t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Bochkarevana@admsov.co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KhamzinDM</cp:lastModifiedBy>
  <cp:revision>6</cp:revision>
  <dcterms:modified xsi:type="dcterms:W3CDTF">2026-08-24T11:39:33Z</dcterms:modified>
</cp:coreProperties>
</file>